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2E" w:rsidRDefault="005D7C2E" w:rsidP="005D7C2E">
      <w:pPr>
        <w:pStyle w:val="a7"/>
        <w:jc w:val="center"/>
        <w:rPr>
          <w:b/>
          <w:lang w:val="en-US" w:eastAsia="ru-RU"/>
        </w:rPr>
      </w:pPr>
    </w:p>
    <w:p w:rsidR="005D7C2E" w:rsidRPr="005D7C2E" w:rsidRDefault="005D7C2E" w:rsidP="005D7C2E">
      <w:pPr>
        <w:pStyle w:val="a7"/>
        <w:jc w:val="center"/>
        <w:rPr>
          <w:b/>
          <w:lang w:eastAsia="ru-RU"/>
        </w:rPr>
      </w:pPr>
      <w:r w:rsidRPr="005D7C2E">
        <w:rPr>
          <w:b/>
          <w:lang w:eastAsia="ru-RU"/>
        </w:rPr>
        <w:t>Указом Президента РФ от 29.05.2020 № 344 утверждена «Стратегия противодействия экстремизму в Российской Федерации до 2025 года»</w:t>
      </w:r>
      <w:bookmarkStart w:id="0" w:name="_GoBack"/>
      <w:bookmarkEnd w:id="0"/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hyperlink r:id="rId5" w:history="1">
        <w:r w:rsidRPr="005D7C2E">
          <w:rPr>
            <w:color w:val="2FA4E7"/>
            <w:sz w:val="21"/>
            <w:szCs w:val="21"/>
            <w:lang w:eastAsia="ru-RU"/>
          </w:rPr>
          <w:t>Главная</w:t>
        </w:r>
      </w:hyperlink>
      <w:r w:rsidRPr="005D7C2E">
        <w:rPr>
          <w:sz w:val="21"/>
          <w:szCs w:val="21"/>
          <w:lang w:eastAsia="ru-RU"/>
        </w:rPr>
        <w:t> » </w:t>
      </w:r>
      <w:hyperlink r:id="rId6" w:history="1">
        <w:r w:rsidRPr="005D7C2E">
          <w:rPr>
            <w:color w:val="2FA4E7"/>
            <w:sz w:val="21"/>
            <w:szCs w:val="21"/>
            <w:lang w:eastAsia="ru-RU"/>
          </w:rPr>
          <w:t>Прокуратура информирует и разъясняет</w:t>
        </w:r>
      </w:hyperlink>
      <w:r w:rsidRPr="005D7C2E">
        <w:rPr>
          <w:sz w:val="21"/>
          <w:szCs w:val="21"/>
          <w:lang w:eastAsia="ru-RU"/>
        </w:rPr>
        <w:t> » Указом Президента РФ от 29.05.2020 № 344 утверждена «Стратегия противодействия экстремизму в Российской Федерации до 2025 года»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Основными направлениями государственной политики в сфере противодействия экстремизму являются, в числе прочего: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совершенствование законодательства РФ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“Интернет”;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проведение профилактической работы с лицами, подверженными влиянию экстремистской идеологии;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 w:rsidRPr="005D7C2E">
        <w:rPr>
          <w:sz w:val="21"/>
          <w:szCs w:val="21"/>
          <w:lang w:eastAsia="ru-RU"/>
        </w:rPr>
        <w:t>исключенности</w:t>
      </w:r>
      <w:proofErr w:type="spellEnd"/>
      <w:r w:rsidRPr="005D7C2E">
        <w:rPr>
          <w:sz w:val="21"/>
          <w:szCs w:val="21"/>
          <w:lang w:eastAsia="ru-RU"/>
        </w:rPr>
        <w:t xml:space="preserve"> отдельных групп граждан;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проведение мониторинга средств массовой информации и информационно-телекоммуникационных сетей, включая сеть “Интернет”,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“Интернет”, распространяющим экстремистскую идеологию;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создание специализированного информационного банка данных экстремистских материалов;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способами.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Реализация настоящей Стратегии будет осуществляться в два этапа.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На первом этапе планируется: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принятие законодательных и иных нормативных правовых актов, направленных на противодействие экстремизму;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создание системы дополнительной защиты информационно-телекоммуникационных сетей, включая сеть “Интернет”, от проникновения экстремистской идеологии.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На втором этапе планируется обобщить результаты реализации Стратегии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В перечне целевых показателей реализации Стратегии: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деятельности;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количество содержащих экстремистские материалы информационных ресурсов в информационно-телекоммуникационных сетях, включая сеть “Интернет”, доступ к которым был ограничен на территории РФ или с которых такие материалы были удалены.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 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> </w:t>
      </w:r>
    </w:p>
    <w:p w:rsidR="005D7C2E" w:rsidRPr="005D7C2E" w:rsidRDefault="005D7C2E" w:rsidP="005D7C2E">
      <w:pPr>
        <w:pStyle w:val="a7"/>
        <w:jc w:val="both"/>
        <w:rPr>
          <w:sz w:val="21"/>
          <w:szCs w:val="21"/>
          <w:lang w:eastAsia="ru-RU"/>
        </w:rPr>
      </w:pPr>
      <w:r w:rsidRPr="005D7C2E">
        <w:rPr>
          <w:sz w:val="21"/>
          <w:szCs w:val="21"/>
          <w:lang w:eastAsia="ru-RU"/>
        </w:rPr>
        <w:t xml:space="preserve">Помощник прокурора района                                                       Р.Р. </w:t>
      </w:r>
      <w:proofErr w:type="spellStart"/>
      <w:r w:rsidRPr="005D7C2E">
        <w:rPr>
          <w:sz w:val="21"/>
          <w:szCs w:val="21"/>
          <w:lang w:eastAsia="ru-RU"/>
        </w:rPr>
        <w:t>Галлямов</w:t>
      </w:r>
      <w:proofErr w:type="spellEnd"/>
    </w:p>
    <w:p w:rsidR="00F51D38" w:rsidRPr="005D7C2E" w:rsidRDefault="00F51D38" w:rsidP="005D7C2E">
      <w:pPr>
        <w:pStyle w:val="a7"/>
        <w:jc w:val="both"/>
        <w:rPr>
          <w:b/>
          <w:sz w:val="40"/>
        </w:rPr>
      </w:pPr>
    </w:p>
    <w:sectPr w:rsidR="00F51D38" w:rsidRPr="005D7C2E" w:rsidSect="005D7C2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9"/>
    <w:rsid w:val="000B2996"/>
    <w:rsid w:val="001459A9"/>
    <w:rsid w:val="005D7C2E"/>
    <w:rsid w:val="00B37760"/>
    <w:rsid w:val="00B52665"/>
    <w:rsid w:val="00F5114F"/>
    <w:rsid w:val="00F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4F"/>
  </w:style>
  <w:style w:type="paragraph" w:styleId="1">
    <w:name w:val="heading 1"/>
    <w:basedOn w:val="a"/>
    <w:link w:val="10"/>
    <w:uiPriority w:val="9"/>
    <w:qFormat/>
    <w:rsid w:val="005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D7C2E"/>
    <w:rPr>
      <w:color w:val="0000FF"/>
      <w:u w:val="single"/>
    </w:rPr>
  </w:style>
  <w:style w:type="character" w:customStyle="1" w:styleId="kbsep">
    <w:name w:val="kb_sep"/>
    <w:basedOn w:val="a0"/>
    <w:rsid w:val="005D7C2E"/>
  </w:style>
  <w:style w:type="character" w:customStyle="1" w:styleId="kbtitle">
    <w:name w:val="kb_title"/>
    <w:basedOn w:val="a0"/>
    <w:rsid w:val="005D7C2E"/>
  </w:style>
  <w:style w:type="paragraph" w:styleId="a6">
    <w:name w:val="Normal (Web)"/>
    <w:basedOn w:val="a"/>
    <w:uiPriority w:val="99"/>
    <w:semiHidden/>
    <w:unhideWhenUsed/>
    <w:rsid w:val="005D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7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4F"/>
  </w:style>
  <w:style w:type="paragraph" w:styleId="1">
    <w:name w:val="heading 1"/>
    <w:basedOn w:val="a"/>
    <w:link w:val="10"/>
    <w:uiPriority w:val="9"/>
    <w:qFormat/>
    <w:rsid w:val="005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D7C2E"/>
    <w:rPr>
      <w:color w:val="0000FF"/>
      <w:u w:val="single"/>
    </w:rPr>
  </w:style>
  <w:style w:type="character" w:customStyle="1" w:styleId="kbsep">
    <w:name w:val="kb_sep"/>
    <w:basedOn w:val="a0"/>
    <w:rsid w:val="005D7C2E"/>
  </w:style>
  <w:style w:type="character" w:customStyle="1" w:styleId="kbtitle">
    <w:name w:val="kb_title"/>
    <w:basedOn w:val="a0"/>
    <w:rsid w:val="005D7C2E"/>
  </w:style>
  <w:style w:type="paragraph" w:styleId="a6">
    <w:name w:val="Normal (Web)"/>
    <w:basedOn w:val="a"/>
    <w:uiPriority w:val="99"/>
    <w:semiHidden/>
    <w:unhideWhenUsed/>
    <w:rsid w:val="005D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7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badrakovski.ru/category/prokuror/" TargetMode="External"/><Relationship Id="rId5" Type="http://schemas.openxmlformats.org/officeDocument/2006/relationships/hyperlink" Target="http://spbadrakovs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sssovet</cp:lastModifiedBy>
  <cp:revision>2</cp:revision>
  <cp:lastPrinted>2020-09-13T10:33:00Z</cp:lastPrinted>
  <dcterms:created xsi:type="dcterms:W3CDTF">2020-10-23T05:10:00Z</dcterms:created>
  <dcterms:modified xsi:type="dcterms:W3CDTF">2020-10-23T05:10:00Z</dcterms:modified>
</cp:coreProperties>
</file>